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111E94">
              <w:rPr>
                <w:b/>
              </w:rPr>
              <w:t>2</w:t>
            </w:r>
            <w:r w:rsidR="00611757">
              <w:rPr>
                <w:b/>
              </w:rPr>
              <w:t>8</w:t>
            </w:r>
            <w:r>
              <w:rPr>
                <w:b/>
              </w:rPr>
              <w:t>.0</w:t>
            </w:r>
            <w:r w:rsidR="00C36794">
              <w:rPr>
                <w:b/>
              </w:rPr>
              <w:t>6</w:t>
            </w:r>
            <w:r>
              <w:rPr>
                <w:b/>
              </w:rPr>
              <w:t xml:space="preserve">.2024 № </w:t>
            </w:r>
            <w:r w:rsidR="00611757">
              <w:rPr>
                <w:b/>
              </w:rPr>
              <w:t>3</w:t>
            </w:r>
            <w:r w:rsidR="00111E94">
              <w:rPr>
                <w:b/>
              </w:rPr>
              <w:t>1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C36794" w:rsidRDefault="000A1B45" w:rsidP="0096736C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611757" w:rsidRPr="00611757" w:rsidRDefault="00611757" w:rsidP="00611757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611757">
        <w:rPr>
          <w:b/>
          <w:sz w:val="40"/>
          <w:szCs w:val="40"/>
        </w:rPr>
        <w:t>СТАРОРУССКАЯ МЕ</w:t>
      </w:r>
      <w:r w:rsidR="00111E94">
        <w:rPr>
          <w:b/>
          <w:sz w:val="40"/>
          <w:szCs w:val="40"/>
        </w:rPr>
        <w:t>Х</w:t>
      </w:r>
      <w:r w:rsidRPr="00611757">
        <w:rPr>
          <w:b/>
          <w:sz w:val="40"/>
          <w:szCs w:val="40"/>
        </w:rPr>
        <w:t>РАЙОННАЯ ПРОКУРАТУРА</w:t>
      </w:r>
      <w:r w:rsidR="00C36794" w:rsidRPr="00611757">
        <w:rPr>
          <w:b/>
          <w:sz w:val="40"/>
          <w:szCs w:val="40"/>
        </w:rPr>
        <w:t xml:space="preserve">  </w:t>
      </w:r>
      <w:r w:rsidR="00111E94">
        <w:rPr>
          <w:b/>
          <w:sz w:val="40"/>
          <w:szCs w:val="40"/>
        </w:rPr>
        <w:t>РАЗЪЯСНЯЕТ…</w:t>
      </w:r>
      <w:r w:rsidR="00C36794" w:rsidRPr="00611757">
        <w:rPr>
          <w:b/>
          <w:sz w:val="40"/>
          <w:szCs w:val="40"/>
        </w:rPr>
        <w:t xml:space="preserve">          </w:t>
      </w:r>
      <w:r w:rsidR="0096736C" w:rsidRPr="00611757">
        <w:rPr>
          <w:b/>
          <w:sz w:val="40"/>
          <w:szCs w:val="40"/>
        </w:rPr>
        <w:t xml:space="preserve">                       </w:t>
      </w:r>
    </w:p>
    <w:p w:rsidR="00611757" w:rsidRDefault="00611757" w:rsidP="00611757">
      <w:pPr>
        <w:autoSpaceDE w:val="0"/>
        <w:autoSpaceDN w:val="0"/>
        <w:adjustRightInd w:val="0"/>
        <w:jc w:val="center"/>
      </w:pPr>
    </w:p>
    <w:p w:rsidR="002B2074" w:rsidRPr="00562EAB" w:rsidRDefault="002B2074" w:rsidP="002B2074">
      <w:pPr>
        <w:spacing w:line="100" w:lineRule="atLeast"/>
        <w:jc w:val="center"/>
        <w:rPr>
          <w:sz w:val="28"/>
          <w:szCs w:val="28"/>
        </w:rPr>
      </w:pPr>
      <w:r w:rsidRPr="00052C7C">
        <w:rPr>
          <w:sz w:val="28"/>
          <w:szCs w:val="28"/>
        </w:rPr>
        <w:t xml:space="preserve"> </w:t>
      </w:r>
    </w:p>
    <w:p w:rsidR="00111E94" w:rsidRPr="001012CB" w:rsidRDefault="00111E94" w:rsidP="00111E94">
      <w:pPr>
        <w:ind w:firstLine="567"/>
        <w:jc w:val="right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>Помощник межрайонного прокурора Анастасия Диесперова разъясняет: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Постановлением Конституционного Суда РФ от 25.06.2024 № 33-П «По делу о проверке конституционности пункта 1 статьи 1276 Гражданского кодекса Российской Федерации в связи с жалобой общества с ограниченной ответственностью «Издательский дом «</w:t>
      </w:r>
      <w:proofErr w:type="spellStart"/>
      <w:r>
        <w:rPr>
          <w:rFonts w:cs="Times New Roman"/>
          <w:sz w:val="28"/>
          <w:szCs w:val="28"/>
        </w:rPr>
        <w:t>ФестХэнд</w:t>
      </w:r>
      <w:proofErr w:type="spellEnd"/>
      <w:r>
        <w:rPr>
          <w:rFonts w:cs="Times New Roman"/>
          <w:sz w:val="28"/>
          <w:szCs w:val="28"/>
        </w:rPr>
        <w:t>» определено, что и</w:t>
      </w:r>
      <w:r>
        <w:rPr>
          <w:rFonts w:cs="Times New Roman"/>
          <w:bCs/>
          <w:sz w:val="28"/>
          <w:szCs w:val="28"/>
        </w:rPr>
        <w:t>спользование в путеводителе изображения скульптуры, расположенной в месте, открытом для свободного посещения, может осуществляться без получения согласия ее автора и выплаты ему вознаграждения.</w:t>
      </w:r>
      <w:proofErr w:type="gramEnd"/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Пункт 1 статьи 1276 ГК РФ признан не противоречащим Конституции РФ в той мере, в какой по его конституционно-правовому смыслу в системе действующего правового регулирования при размещении в информационно-справочном материале о культурных, исторических и иных достопримечательностях территории (путеводителе) изображения произведения изобразительного искусства - скульптуры, которая расположена в открытом для свободного посещения месте на этой территории или видна из такого места, не</w:t>
      </w:r>
      <w:proofErr w:type="gramEnd"/>
      <w:r>
        <w:rPr>
          <w:rFonts w:cs="Times New Roman"/>
          <w:sz w:val="28"/>
          <w:szCs w:val="28"/>
        </w:rPr>
        <w:t xml:space="preserve"> требуется получения согласия автора или иного правообладателя скульптуры и выплаты ему вознаграждения, в том </w:t>
      </w:r>
      <w:proofErr w:type="gramStart"/>
      <w:r>
        <w:rPr>
          <w:rFonts w:cs="Times New Roman"/>
          <w:sz w:val="28"/>
          <w:szCs w:val="28"/>
        </w:rPr>
        <w:t>числе</w:t>
      </w:r>
      <w:proofErr w:type="gramEnd"/>
      <w:r>
        <w:rPr>
          <w:rFonts w:cs="Times New Roman"/>
          <w:sz w:val="28"/>
          <w:szCs w:val="28"/>
        </w:rPr>
        <w:t xml:space="preserve"> если соответствующий информационно-справочный материал распространяется в целях получения прибыли, а на данном изображении скульптура может рассматриваться как основной объект использования. </w:t>
      </w: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Pr="00065834" w:rsidRDefault="00111E94" w:rsidP="00111E94">
      <w:pPr>
        <w:ind w:firstLine="567"/>
        <w:jc w:val="right"/>
        <w:rPr>
          <w:b/>
          <w:sz w:val="28"/>
          <w:szCs w:val="28"/>
        </w:rPr>
      </w:pPr>
      <w:r w:rsidRPr="00065834">
        <w:rPr>
          <w:b/>
          <w:sz w:val="28"/>
          <w:szCs w:val="28"/>
        </w:rPr>
        <w:t xml:space="preserve">Помощник межрайонного прокурора Василий </w:t>
      </w:r>
      <w:proofErr w:type="spellStart"/>
      <w:r w:rsidRPr="00065834">
        <w:rPr>
          <w:b/>
          <w:sz w:val="28"/>
          <w:szCs w:val="28"/>
        </w:rPr>
        <w:t>Гузиков</w:t>
      </w:r>
      <w:proofErr w:type="spellEnd"/>
      <w:r w:rsidRPr="00065834">
        <w:rPr>
          <w:b/>
          <w:sz w:val="28"/>
          <w:szCs w:val="28"/>
        </w:rPr>
        <w:t xml:space="preserve"> разъясняет: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Письме </w:t>
      </w:r>
      <w:proofErr w:type="spellStart"/>
      <w:r>
        <w:rPr>
          <w:rFonts w:cs="Times New Roman"/>
          <w:sz w:val="28"/>
          <w:szCs w:val="28"/>
        </w:rPr>
        <w:t>Росреестра</w:t>
      </w:r>
      <w:proofErr w:type="spellEnd"/>
      <w:r>
        <w:rPr>
          <w:rFonts w:cs="Times New Roman"/>
          <w:sz w:val="28"/>
          <w:szCs w:val="28"/>
        </w:rPr>
        <w:t xml:space="preserve"> от 13.06.2024 № 14-5463-ТГ/24 «О направлении для сведения и учета в работе ответов на поступившие вопросы методического характера в сфере государственного кадастрового учета и государственной регистрации прав» п</w:t>
      </w:r>
      <w:r>
        <w:rPr>
          <w:rFonts w:cs="Times New Roman"/>
          <w:bCs/>
          <w:sz w:val="28"/>
          <w:szCs w:val="28"/>
        </w:rPr>
        <w:t xml:space="preserve">редставлены ответы на вопросы методического характера в сфере кадастрового учета и регистрации прав, </w:t>
      </w:r>
      <w:r>
        <w:rPr>
          <w:rFonts w:cs="Times New Roman"/>
          <w:sz w:val="28"/>
          <w:szCs w:val="28"/>
        </w:rPr>
        <w:t>содержатся ответы на следующие вопросы, в том числе: возможно ли зарегистрировать право собственности покупателя на основании договора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купли-продажи, если на момент обращения за государственной регистрацией продавец (юридическое лицо) ликвидирован, а в ЕГРН право собственности продавца на объект недвижимости, являющийся предметом договора купли-</w:t>
      </w:r>
      <w:r>
        <w:rPr>
          <w:rFonts w:cs="Times New Roman"/>
          <w:sz w:val="28"/>
          <w:szCs w:val="28"/>
        </w:rPr>
        <w:lastRenderedPageBreak/>
        <w:t>продажи, не зарегистрировано, но представлены документы, подтверждающие возникновение ранее возникшего права собственности продавца, а также документы, подтверждающие исполнение сторонами договора своих обязательств (в том числе по полной уплате цены договора, по передаче объекта недвижимости);</w:t>
      </w:r>
      <w:proofErr w:type="gramEnd"/>
      <w:r>
        <w:rPr>
          <w:rFonts w:cs="Times New Roman"/>
          <w:sz w:val="28"/>
          <w:szCs w:val="28"/>
        </w:rPr>
        <w:t xml:space="preserve"> возможно ли заключить и зарегистрировать несколько договоров аренды в отношении одного и того же объекта недвижимости. </w:t>
      </w: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Pr="00BF1AD7" w:rsidRDefault="00111E94" w:rsidP="00111E94">
      <w:pPr>
        <w:ind w:firstLine="567"/>
        <w:jc w:val="right"/>
        <w:rPr>
          <w:b/>
          <w:sz w:val="28"/>
          <w:szCs w:val="28"/>
        </w:rPr>
      </w:pPr>
      <w:r w:rsidRPr="00BF1AD7">
        <w:rPr>
          <w:b/>
          <w:sz w:val="28"/>
          <w:szCs w:val="28"/>
        </w:rPr>
        <w:t xml:space="preserve">Помощник межрайонного прокурора Марина </w:t>
      </w:r>
      <w:proofErr w:type="spellStart"/>
      <w:r w:rsidRPr="00BF1AD7">
        <w:rPr>
          <w:b/>
          <w:sz w:val="28"/>
          <w:szCs w:val="28"/>
        </w:rPr>
        <w:t>Бухарова</w:t>
      </w:r>
      <w:proofErr w:type="spellEnd"/>
      <w:r w:rsidRPr="00BF1AD7">
        <w:rPr>
          <w:b/>
          <w:sz w:val="28"/>
          <w:szCs w:val="28"/>
        </w:rPr>
        <w:t xml:space="preserve"> разъясняет:</w:t>
      </w:r>
    </w:p>
    <w:p w:rsidR="00111E94" w:rsidRDefault="00111E94" w:rsidP="00111E94">
      <w:pPr>
        <w:pStyle w:val="af6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Письме Минстроя России от 04.03.2024 № 5343-ОГ/00 «О проведении общих собраний собственников помещений в многоквартирном доме» р</w:t>
      </w:r>
      <w:r>
        <w:rPr>
          <w:bCs/>
          <w:sz w:val="28"/>
          <w:szCs w:val="28"/>
        </w:rPr>
        <w:t>азъяснен порядок извещения собственников помещений в многоквартирном доме о проведении общего собрания.</w:t>
      </w:r>
    </w:p>
    <w:p w:rsidR="00111E94" w:rsidRDefault="00111E94" w:rsidP="00111E94">
      <w:pPr>
        <w:pStyle w:val="aff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ab/>
        <w:t xml:space="preserve">Сообщается, в частности, что согласно части 4 статьи 45 ЖК РФ собственник, иное лицо, указанное в ЖК РФ, по инициативе которых созывается общее собрание собственников помещений в многоквартирном доме, обязаны сообщить о проведении такого собрания не </w:t>
      </w:r>
      <w:proofErr w:type="gramStart"/>
      <w:r>
        <w:rPr>
          <w:rFonts w:cs="Times New Roman"/>
          <w:sz w:val="28"/>
          <w:szCs w:val="28"/>
        </w:rPr>
        <w:t>позднее</w:t>
      </w:r>
      <w:proofErr w:type="gramEnd"/>
      <w:r>
        <w:rPr>
          <w:rFonts w:cs="Times New Roman"/>
          <w:sz w:val="28"/>
          <w:szCs w:val="28"/>
        </w:rPr>
        <w:t xml:space="preserve"> чем за десять дней до даты его проведения. 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форме, или вручено каждому собственнику под </w:t>
      </w:r>
      <w:proofErr w:type="gramStart"/>
      <w:r>
        <w:rPr>
          <w:rFonts w:cs="Times New Roman"/>
          <w:sz w:val="28"/>
          <w:szCs w:val="28"/>
        </w:rPr>
        <w:t>роспись</w:t>
      </w:r>
      <w:proofErr w:type="gramEnd"/>
      <w:r>
        <w:rPr>
          <w:rFonts w:cs="Times New Roman"/>
          <w:sz w:val="28"/>
          <w:szCs w:val="28"/>
        </w:rPr>
        <w:t xml:space="preserve"> либо размещено в помещении данного дома, определенном таким решением и доступном для всех собственников. </w:t>
      </w:r>
    </w:p>
    <w:p w:rsidR="00111E94" w:rsidRDefault="00111E94" w:rsidP="00111E94">
      <w:pPr>
        <w:pStyle w:val="aff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111E94" w:rsidRDefault="00111E94" w:rsidP="00111E94">
      <w:pPr>
        <w:ind w:firstLine="567"/>
        <w:jc w:val="both"/>
        <w:rPr>
          <w:sz w:val="28"/>
          <w:szCs w:val="28"/>
        </w:rPr>
      </w:pPr>
    </w:p>
    <w:p w:rsidR="00111E94" w:rsidRPr="003C39FC" w:rsidRDefault="00111E94" w:rsidP="00111E94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межрайонного прокурора Полина Григорьева</w:t>
      </w:r>
      <w:r w:rsidRPr="003C39FC">
        <w:rPr>
          <w:b/>
          <w:sz w:val="28"/>
          <w:szCs w:val="28"/>
        </w:rPr>
        <w:t xml:space="preserve"> разъясняет:</w:t>
      </w:r>
    </w:p>
    <w:p w:rsidR="00111E94" w:rsidRDefault="00111E94" w:rsidP="00111E94">
      <w:pPr>
        <w:pStyle w:val="af6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 Минстроя России от 02.04.2024 № 8277-ОГ/00 «О расчете размера платы за коммунальные услуги» </w:t>
      </w:r>
      <w:r>
        <w:rPr>
          <w:bCs/>
          <w:sz w:val="28"/>
          <w:szCs w:val="28"/>
        </w:rPr>
        <w:t>рассмотрен вопрос о расчете размера платы за коммунальные услуги.</w:t>
      </w:r>
    </w:p>
    <w:p w:rsidR="00111E94" w:rsidRDefault="00111E94" w:rsidP="00111E94">
      <w:pPr>
        <w:spacing w:line="16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в том числе сообщается, что действующее законодательство не предусматривает возможности перераспределения исполнителем коммунальных услуг возникшей у потребителей-должников задолженности по оплате жилищных и коммунальных услуг между жителями МКД. </w:t>
      </w:r>
    </w:p>
    <w:p w:rsidR="00111E94" w:rsidRDefault="00111E94" w:rsidP="00111E94">
      <w:pPr>
        <w:ind w:firstLine="567"/>
        <w:jc w:val="both"/>
        <w:rPr>
          <w:sz w:val="28"/>
          <w:szCs w:val="28"/>
        </w:rPr>
      </w:pP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>Старший помощник межрайонного прокурора Елена Потехина</w:t>
      </w:r>
    </w:p>
    <w:p w:rsidR="00111E94" w:rsidRPr="001012CB" w:rsidRDefault="00111E94" w:rsidP="00111E94">
      <w:pPr>
        <w:ind w:firstLine="567"/>
        <w:jc w:val="right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>разъясняет: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 Письме Минстроя России от 03.04.2024 № 8494-ОГ/00 «По вопросу перерасчета размера расходов на оплату коммунальных ресурсов, потребляемых при использовании и содержании общего имущества» </w:t>
      </w:r>
      <w:r>
        <w:rPr>
          <w:rFonts w:cs="Times New Roman"/>
          <w:bCs/>
          <w:sz w:val="28"/>
          <w:szCs w:val="28"/>
          <w:lang w:eastAsia="ru-RU"/>
        </w:rPr>
        <w:t xml:space="preserve">разъяснены особенности перерасчета стоимости коммунальных ресурсов, потребляемых при использовании и содержании общего имущества в </w:t>
      </w:r>
      <w:r>
        <w:rPr>
          <w:rFonts w:cs="Times New Roman"/>
          <w:bCs/>
          <w:sz w:val="28"/>
          <w:szCs w:val="28"/>
          <w:lang w:eastAsia="ru-RU"/>
        </w:rPr>
        <w:lastRenderedPageBreak/>
        <w:t>многоквартирном доме.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 xml:space="preserve">Приведены, в частности, положения Жилищного кодекса РФ, Постановления Правительства РФ от 03.02.2022 № 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доме», Постановления Правительства РФ от 27.03.2023 N 480 «О внесении изменения в пункт 29(3) Правил содержания общего имущества в многоквартирном доме». </w:t>
      </w:r>
      <w:proofErr w:type="gramEnd"/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Отмечается, в числе прочего, что необходимость проведения перерасчета платы за коммунальные ресурсы и размер такого перерасчета также существенно зависит от установленной уполномоченными органами государственной власти субъекта РФ величины нормативов их потребления. Установление таких нормативов потребления в размере, максимально приближенном к фактическому объему потребления коммунальных ресурсов, снижает вероятность ущемления интересов различных участников жилищных отношений и дискриминации потребителей, проживающих в разных многоквартирных домах (оборудованных или не оборудованных коллективными (</w:t>
      </w:r>
      <w:proofErr w:type="spellStart"/>
      <w:r>
        <w:rPr>
          <w:rFonts w:cs="Times New Roman"/>
          <w:sz w:val="28"/>
          <w:szCs w:val="28"/>
          <w:lang w:eastAsia="ru-RU"/>
        </w:rPr>
        <w:t>общедомовыми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) приборами учета). 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При этом действующее законодательство не предусматривает возможности перераспределения исполнителем коммунальных услуг возникшей у потребителей-должников задолженности по оплате жилищных и коммунальных услуг между жителями многоквартирного дома. </w:t>
      </w: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Pr="001012CB" w:rsidRDefault="00111E94" w:rsidP="00111E94">
      <w:pPr>
        <w:ind w:firstLine="567"/>
        <w:jc w:val="right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>Заместитель межрайонного прокурора Сергей Воробьев разъясняет: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cs="Times New Roman"/>
          <w:sz w:val="28"/>
          <w:szCs w:val="28"/>
          <w:lang w:eastAsia="ru-RU"/>
        </w:rPr>
        <w:t>Росприроднадзора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от 04.06.2024 № 300 «Об утверждении перечня вопросов для проведения тестирования граждан, подавших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общественных инспекторов по охране окружающей среды» у</w:t>
      </w:r>
      <w:r>
        <w:rPr>
          <w:rFonts w:cs="Times New Roman"/>
          <w:bCs/>
          <w:sz w:val="28"/>
          <w:szCs w:val="28"/>
          <w:lang w:eastAsia="ru-RU"/>
        </w:rPr>
        <w:t>твержден перечень вопросов для проведения тестирования граждан, подавших заявление о намерении осуществления общественного контроля в области охраны окружающей среды в качестве общественных инспекторов по</w:t>
      </w:r>
      <w:proofErr w:type="gramEnd"/>
      <w:r>
        <w:rPr>
          <w:rFonts w:cs="Times New Roman"/>
          <w:bCs/>
          <w:sz w:val="28"/>
          <w:szCs w:val="28"/>
          <w:lang w:eastAsia="ru-RU"/>
        </w:rPr>
        <w:t xml:space="preserve"> охране окружающей среды</w:t>
      </w:r>
    </w:p>
    <w:p w:rsidR="00111E94" w:rsidRDefault="00111E94" w:rsidP="00111E94">
      <w:pPr>
        <w:pStyle w:val="aff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 Перечень применяется с 1 июля 2024 года. </w:t>
      </w: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Pr="001012CB" w:rsidRDefault="00111E94" w:rsidP="00111E94">
      <w:pPr>
        <w:ind w:firstLine="567"/>
        <w:jc w:val="right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 Письме ФНС России от 24.06.2024 № СД-4-3/7041@</w:t>
      </w:r>
      <w:r>
        <w:rPr>
          <w:rFonts w:cs="Times New Roman"/>
          <w:sz w:val="28"/>
          <w:szCs w:val="28"/>
          <w:lang w:eastAsia="ru-RU"/>
        </w:rPr>
        <w:br/>
        <w:t>«О доведении письма Минфина России» даны разъяснения по вопросу начисления амортизации в отношении имущества, приобретенного (созданного) собственником за счет бюджетных средств и переданного в уставный фонд унитарного предприятия с закреплением данного имущества за указанным унитарным предприятием на праве хозяйственного ведения.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Сообщается, в частности, что согласно положениям абзаца десятого пункта 1 статьи 277 НК РФ при передаче имущества в уставный фонд унитарного предприятия собственником его имущества первоначальной стоимостью этого имущества признаются документально подтвержденные расходы на его приобретение (создание), осуществленные в соответствии с </w:t>
      </w:r>
      <w:r>
        <w:rPr>
          <w:rFonts w:cs="Times New Roman"/>
          <w:sz w:val="28"/>
          <w:szCs w:val="28"/>
          <w:lang w:eastAsia="ru-RU"/>
        </w:rPr>
        <w:lastRenderedPageBreak/>
        <w:t xml:space="preserve">бюджетным законодательством РФ. 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Следовательно, в случае если в уставный фонд унитарного предприятия передается уже созданное имущество, а не передаются бюджетные средства в целях создания (приобретения) этим унитарным предприятием имущества, то стоимость такого полученного имущества определяется на основании абзаца десятого пункта 1 статьи 277 НК РФ. При этом унитарное предприятие вправе начислять амортизацию по данному имуществу для целей налогообложения прибыли в общеустановленном порядке. </w:t>
      </w:r>
    </w:p>
    <w:p w:rsidR="00111E94" w:rsidRDefault="00111E94" w:rsidP="00111E94">
      <w:pPr>
        <w:ind w:firstLine="567"/>
        <w:jc w:val="both"/>
        <w:rPr>
          <w:sz w:val="28"/>
          <w:szCs w:val="28"/>
        </w:rPr>
      </w:pPr>
    </w:p>
    <w:p w:rsidR="00111E94" w:rsidRPr="001012CB" w:rsidRDefault="00111E94" w:rsidP="00111E94">
      <w:pPr>
        <w:ind w:firstLine="567"/>
        <w:jc w:val="right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>Помощник межрайонного прокурора Анастасия Диесперова разъясняет: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Постановлением Правительства РФ от 22.06.2024 № 848 «О внесении изменений в постановление Правительства Российской Федерации от 14 декабря 2005 г. № 761» у</w:t>
      </w:r>
      <w:r>
        <w:rPr>
          <w:rFonts w:cs="Times New Roman"/>
          <w:bCs/>
          <w:sz w:val="28"/>
          <w:szCs w:val="28"/>
          <w:lang w:eastAsia="ru-RU"/>
        </w:rPr>
        <w:t>точнен порядок предоставления субсидий на оплату жилого помещения и коммунальных услуг.</w:t>
      </w:r>
    </w:p>
    <w:p w:rsidR="00111E94" w:rsidRDefault="00111E94" w:rsidP="00111E94">
      <w:pPr>
        <w:pStyle w:val="aff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 </w:t>
      </w:r>
      <w:r>
        <w:rPr>
          <w:rFonts w:cs="Times New Roman"/>
          <w:sz w:val="28"/>
          <w:szCs w:val="28"/>
          <w:lang w:eastAsia="ru-RU"/>
        </w:rPr>
        <w:tab/>
      </w:r>
      <w:proofErr w:type="gramStart"/>
      <w:r>
        <w:rPr>
          <w:rFonts w:cs="Times New Roman"/>
          <w:sz w:val="28"/>
          <w:szCs w:val="28"/>
          <w:lang w:eastAsia="ru-RU"/>
        </w:rPr>
        <w:t>В частности, определены особенности подачи в уполномоченный орган заявления о предоставлении субсидии и иных документов (сведений) в электронной форме, установлен перечень лиц, которые не подлежат включению в состав семьи, учитываемый при определении права на получение субсидии, в том числе в целях расчета совокупного дохода семьи, уточнены виды доходов семьи или одиноко проживающего гражданина, полученных в денежной форме, учитываемых при расчете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их совокупного дохода, а также порядок его исчисления, определен перечень документов (сведений), необходимых для предоставления субсидии на оплату жилого помещения и коммунальных услуг. </w:t>
      </w:r>
    </w:p>
    <w:p w:rsidR="00111E94" w:rsidRDefault="00111E94" w:rsidP="00111E94">
      <w:pPr>
        <w:pStyle w:val="aff4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Настоящее постановление вступает в силу по истечении 3 месяцев со дня его официального опубликования, за исключением отдельных положений, вступающих в силу по истечении 6 месяцев со дня его официального опубликования. </w:t>
      </w: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Pr="004F01F3" w:rsidRDefault="00111E94" w:rsidP="00111E94">
      <w:pPr>
        <w:ind w:firstLine="567"/>
        <w:jc w:val="right"/>
        <w:rPr>
          <w:b/>
          <w:sz w:val="28"/>
          <w:szCs w:val="28"/>
        </w:rPr>
      </w:pPr>
      <w:r w:rsidRPr="004F01F3">
        <w:rPr>
          <w:b/>
          <w:sz w:val="28"/>
          <w:szCs w:val="28"/>
        </w:rPr>
        <w:t>Заместитель межрайонного прокурора Сергей Воробьев разъясняет:</w:t>
      </w: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  <w:bookmarkStart w:id="0" w:name="_Hlk162279538"/>
      <w:r>
        <w:rPr>
          <w:b/>
          <w:sz w:val="28"/>
          <w:szCs w:val="28"/>
        </w:rPr>
        <w:t>разъясняет:</w:t>
      </w:r>
    </w:p>
    <w:p w:rsidR="00111E94" w:rsidRDefault="00111E94" w:rsidP="00111E94">
      <w:pPr>
        <w:spacing w:line="288" w:lineRule="atLeast"/>
        <w:ind w:firstLine="567"/>
        <w:jc w:val="both"/>
      </w:pPr>
      <w:proofErr w:type="gramStart"/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21.05.2024 № 347 «О внесении изменений в 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в</w:t>
      </w:r>
      <w:r>
        <w:rPr>
          <w:bCs/>
          <w:sz w:val="28"/>
          <w:szCs w:val="28"/>
        </w:rPr>
        <w:t>несены изменения в федеральный перечень учебников</w:t>
      </w:r>
      <w:proofErr w:type="gramEnd"/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В частности, изменениями продлен предельный срок использования ряда учебников</w:t>
      </w:r>
      <w:r>
        <w:t xml:space="preserve">. </w:t>
      </w: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Default="00111E94" w:rsidP="00111E94">
      <w:pPr>
        <w:ind w:firstLine="567"/>
        <w:jc w:val="right"/>
        <w:rPr>
          <w:b/>
          <w:sz w:val="28"/>
          <w:szCs w:val="28"/>
        </w:rPr>
      </w:pPr>
    </w:p>
    <w:p w:rsidR="00111E94" w:rsidRPr="001012CB" w:rsidRDefault="00111E94" w:rsidP="00111E94">
      <w:pPr>
        <w:ind w:firstLine="567"/>
        <w:jc w:val="right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>Старший помощник межрайонного прокурора Елена Потехина разъясняет:</w:t>
      </w:r>
    </w:p>
    <w:p w:rsidR="00111E94" w:rsidRDefault="00111E94" w:rsidP="00111E94">
      <w:pPr>
        <w:spacing w:line="288" w:lineRule="atLeast"/>
        <w:ind w:firstLine="567"/>
        <w:jc w:val="both"/>
        <w:rPr>
          <w:sz w:val="28"/>
          <w:szCs w:val="28"/>
        </w:rPr>
      </w:pPr>
      <w:bookmarkStart w:id="1" w:name="_GoBack"/>
      <w:bookmarkEnd w:id="0"/>
      <w:bookmarkEnd w:id="1"/>
      <w:r>
        <w:rPr>
          <w:sz w:val="28"/>
          <w:szCs w:val="28"/>
        </w:rPr>
        <w:lastRenderedPageBreak/>
        <w:t>Федеральный закон от 22.06.2024 № 152-ФЗ «О внесении изменений в Кодекс Российской Федерации об административных правонарушениях</w:t>
      </w:r>
      <w:proofErr w:type="gramStart"/>
      <w:r>
        <w:rPr>
          <w:sz w:val="28"/>
          <w:szCs w:val="28"/>
        </w:rPr>
        <w:t>»</w:t>
      </w:r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водит административные штрафы за нарушение требований законодательства, устанавливающего особенности регулирования корпоративных отношений в хозяйственных обществах, являющихся экономически значимыми организациями.</w:t>
      </w:r>
    </w:p>
    <w:p w:rsidR="00111E94" w:rsidRDefault="00111E94" w:rsidP="00111E94">
      <w:pPr>
        <w:spacing w:line="16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Неисполнение лицами, косвенно владеющими акциями (долями в уставном капитале) такой организации, принадлежащими иностранной холдинговой компании, и являющимися гражданами и (или) резидентами РФ, обязанности по направлению заявления, содержащего информацию, необходимую для вступления в прямое владение такими акциями (долями в уставном капитале) в соответствии с Федеральным законом от 04.08.2023 N 470-ФЗ, после направления предписания уполномоченного органа, а также неисполнение или несвоевременное исполнение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органами управления экономически значимой организации обязанностей, которые возложены на них в соответствии со статьей 12 данного Закона, повлечет наложение штрафа на граждан в размере от 200 тысяч до 400 тысяч рублей; на должностных лиц - от 300 тысяч до 500 тысяч рублей; на юридических лиц - от 500 тысяч до 700 тысяч рублей. </w:t>
      </w:r>
      <w:proofErr w:type="gramEnd"/>
    </w:p>
    <w:p w:rsidR="00111E94" w:rsidRDefault="00111E94" w:rsidP="00111E94">
      <w:pPr>
        <w:spacing w:before="16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со дня его официального опубликования. </w:t>
      </w:r>
    </w:p>
    <w:p w:rsidR="00111E94" w:rsidRPr="001012CB" w:rsidRDefault="00111E94" w:rsidP="00111E94">
      <w:pPr>
        <w:ind w:firstLine="567"/>
        <w:jc w:val="both"/>
        <w:rPr>
          <w:sz w:val="28"/>
          <w:szCs w:val="28"/>
        </w:rPr>
      </w:pPr>
    </w:p>
    <w:p w:rsidR="00111E94" w:rsidRPr="001012CB" w:rsidRDefault="00111E94" w:rsidP="00111E94">
      <w:pPr>
        <w:ind w:firstLine="567"/>
        <w:jc w:val="both"/>
        <w:rPr>
          <w:sz w:val="28"/>
          <w:szCs w:val="28"/>
        </w:rPr>
      </w:pPr>
    </w:p>
    <w:p w:rsidR="00111E94" w:rsidRPr="001012CB" w:rsidRDefault="00111E94" w:rsidP="00111E94">
      <w:pPr>
        <w:rPr>
          <w:sz w:val="28"/>
          <w:szCs w:val="28"/>
        </w:rPr>
      </w:pPr>
    </w:p>
    <w:p w:rsidR="002B2074" w:rsidRPr="00052C7C" w:rsidRDefault="002B2074" w:rsidP="002B2074">
      <w:pPr>
        <w:spacing w:line="100" w:lineRule="atLeast"/>
      </w:pPr>
    </w:p>
    <w:p w:rsidR="0096736C" w:rsidRPr="0096736C" w:rsidRDefault="0096736C" w:rsidP="0096736C">
      <w:pPr>
        <w:jc w:val="center"/>
        <w:rPr>
          <w:b/>
        </w:rPr>
      </w:pPr>
    </w:p>
    <w:tbl>
      <w:tblPr>
        <w:tblpPr w:leftFromText="180" w:rightFromText="180" w:vertAnchor="page" w:horzAnchor="margin" w:tblpY="885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2B2074" w:rsidTr="002B207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b/>
                <w:sz w:val="44"/>
                <w:szCs w:val="44"/>
                <w:lang w:eastAsia="ar-SA"/>
              </w:rPr>
            </w:pPr>
          </w:p>
          <w:p w:rsidR="002B2074" w:rsidRDefault="002B2074" w:rsidP="002B20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B2074" w:rsidRDefault="002B2074" w:rsidP="002B207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B2074" w:rsidRDefault="002B2074" w:rsidP="002B207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B2074" w:rsidRDefault="002B2074" w:rsidP="002B2074"/>
          <w:p w:rsidR="002B2074" w:rsidRDefault="002B2074" w:rsidP="002B207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B2074" w:rsidRDefault="00111E94" w:rsidP="002B2074">
            <w:r>
              <w:t>2</w:t>
            </w:r>
            <w:r w:rsidR="00611757">
              <w:t>8</w:t>
            </w:r>
            <w:r>
              <w:t>.06.2024 в 09:2</w:t>
            </w:r>
            <w:r w:rsidR="00611757">
              <w:t>5</w:t>
            </w:r>
            <w:r w:rsidR="002B2074">
              <w:t xml:space="preserve"> часов</w:t>
            </w:r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B2074" w:rsidRDefault="002B2074" w:rsidP="002B207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0A1B45"/>
    <w:sectPr w:rsidR="00A90B49" w:rsidSect="00A90B49">
      <w:headerReference w:type="even" r:id="rId8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0B0926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1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2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3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2"/>
  </w:num>
  <w:num w:numId="3">
    <w:abstractNumId w:val="2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8"/>
  </w:num>
  <w:num w:numId="9">
    <w:abstractNumId w:val="1"/>
  </w:num>
  <w:num w:numId="10">
    <w:abstractNumId w:val="0"/>
  </w:num>
  <w:num w:numId="11">
    <w:abstractNumId w:val="25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9"/>
  </w:num>
  <w:num w:numId="23">
    <w:abstractNumId w:val="14"/>
  </w:num>
  <w:num w:numId="24">
    <w:abstractNumId w:val="30"/>
  </w:num>
  <w:num w:numId="25">
    <w:abstractNumId w:val="23"/>
  </w:num>
  <w:num w:numId="26">
    <w:abstractNumId w:val="28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9"/>
  </w:num>
  <w:num w:numId="30">
    <w:abstractNumId w:val="1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4"/>
  </w:num>
  <w:num w:numId="34">
    <w:abstractNumId w:val="17"/>
  </w:num>
  <w:num w:numId="35">
    <w:abstractNumId w:val="9"/>
  </w:num>
  <w:num w:numId="36">
    <w:abstractNumId w:val="31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0926"/>
    <w:rsid w:val="000B401B"/>
    <w:rsid w:val="000C5DFD"/>
    <w:rsid w:val="000E459A"/>
    <w:rsid w:val="000E4CC3"/>
    <w:rsid w:val="0010714D"/>
    <w:rsid w:val="00111E94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11757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55019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36794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3739B"/>
    <w:rsid w:val="00D45607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25</cp:revision>
  <cp:lastPrinted>2024-03-13T11:45:00Z</cp:lastPrinted>
  <dcterms:created xsi:type="dcterms:W3CDTF">2024-02-06T06:58:00Z</dcterms:created>
  <dcterms:modified xsi:type="dcterms:W3CDTF">2024-06-28T06:16:00Z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